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3"/>
        <w:tblW w:w="9813" w:type="dxa"/>
        <w:tblLook w:val="0600" w:firstRow="0" w:lastRow="0" w:firstColumn="0" w:lastColumn="0" w:noHBand="1" w:noVBand="1"/>
      </w:tblPr>
      <w:tblGrid>
        <w:gridCol w:w="3017"/>
        <w:gridCol w:w="6796"/>
      </w:tblGrid>
      <w:tr w:rsidR="00041494" w14:paraId="3B34B84E" w14:textId="77777777" w:rsidTr="00F73B3A">
        <w:trPr>
          <w:trHeight w:val="800"/>
        </w:trPr>
        <w:tc>
          <w:tcPr>
            <w:tcW w:w="3017" w:type="dxa"/>
          </w:tcPr>
          <w:p w14:paraId="41462AC9" w14:textId="0E97E4C4" w:rsidR="00041494" w:rsidRPr="00C37D72" w:rsidRDefault="00041494">
            <w:pPr>
              <w:rPr>
                <w:b/>
                <w:bCs/>
                <w:sz w:val="28"/>
                <w:szCs w:val="28"/>
              </w:rPr>
            </w:pPr>
            <w:r w:rsidRPr="00C37D72">
              <w:rPr>
                <w:b/>
                <w:bCs/>
                <w:sz w:val="28"/>
                <w:szCs w:val="28"/>
              </w:rPr>
              <w:t>Symptoms:</w:t>
            </w:r>
          </w:p>
        </w:tc>
        <w:tc>
          <w:tcPr>
            <w:tcW w:w="6796" w:type="dxa"/>
          </w:tcPr>
          <w:p w14:paraId="3BE42A3A" w14:textId="388665B9" w:rsidR="00041494" w:rsidRPr="00F73B3A" w:rsidRDefault="004032DE">
            <w:pPr>
              <w:rPr>
                <w:sz w:val="24"/>
                <w:szCs w:val="24"/>
              </w:rPr>
            </w:pPr>
            <w:r w:rsidRPr="00F73B3A">
              <w:rPr>
                <w:sz w:val="24"/>
                <w:szCs w:val="24"/>
              </w:rPr>
              <w:t>Sudden onset of a mild fever and an itchy rash that starts with small, red bumps that become blistery, oozy, and then crust over.</w:t>
            </w:r>
          </w:p>
        </w:tc>
      </w:tr>
      <w:tr w:rsidR="00041494" w14:paraId="035C1C8B" w14:textId="77777777" w:rsidTr="00F73B3A">
        <w:trPr>
          <w:trHeight w:val="1277"/>
        </w:trPr>
        <w:tc>
          <w:tcPr>
            <w:tcW w:w="3017" w:type="dxa"/>
          </w:tcPr>
          <w:p w14:paraId="708F5BE1" w14:textId="31E09994" w:rsidR="00041494" w:rsidRPr="00C37D72" w:rsidRDefault="00041494">
            <w:pPr>
              <w:rPr>
                <w:b/>
                <w:bCs/>
                <w:sz w:val="28"/>
                <w:szCs w:val="28"/>
              </w:rPr>
            </w:pPr>
            <w:r w:rsidRPr="00C37D72">
              <w:rPr>
                <w:b/>
                <w:bCs/>
                <w:sz w:val="28"/>
                <w:szCs w:val="28"/>
              </w:rPr>
              <w:t>How It Is Spread:</w:t>
            </w:r>
          </w:p>
        </w:tc>
        <w:tc>
          <w:tcPr>
            <w:tcW w:w="6796" w:type="dxa"/>
          </w:tcPr>
          <w:p w14:paraId="46C4B4E2" w14:textId="53B97031" w:rsidR="00041494" w:rsidRPr="00F73B3A" w:rsidRDefault="004032DE">
            <w:pPr>
              <w:rPr>
                <w:sz w:val="24"/>
                <w:szCs w:val="24"/>
              </w:rPr>
            </w:pPr>
            <w:r w:rsidRPr="00F73B3A">
              <w:rPr>
                <w:sz w:val="24"/>
                <w:szCs w:val="24"/>
              </w:rPr>
              <w:t xml:space="preserve">Chickenpox is spread through exposure of infected fluids from the nose, throat, or skin rash of someone with chickenpox. This can occur either by sharing that person’s breathing space, or by directly touching the infected fluids from the skin. </w:t>
            </w:r>
          </w:p>
        </w:tc>
      </w:tr>
      <w:tr w:rsidR="00041494" w14:paraId="4AD39101" w14:textId="77777777" w:rsidTr="00F73B3A">
        <w:trPr>
          <w:trHeight w:val="440"/>
        </w:trPr>
        <w:tc>
          <w:tcPr>
            <w:tcW w:w="3017" w:type="dxa"/>
          </w:tcPr>
          <w:p w14:paraId="7FBFBD2F" w14:textId="57A302D9" w:rsidR="00041494" w:rsidRPr="00C37D72" w:rsidRDefault="00041494">
            <w:pPr>
              <w:rPr>
                <w:b/>
                <w:bCs/>
                <w:sz w:val="28"/>
                <w:szCs w:val="28"/>
              </w:rPr>
            </w:pPr>
            <w:r w:rsidRPr="00C37D72">
              <w:rPr>
                <w:b/>
                <w:bCs/>
                <w:sz w:val="28"/>
                <w:szCs w:val="28"/>
              </w:rPr>
              <w:t>Incubation:</w:t>
            </w:r>
          </w:p>
        </w:tc>
        <w:tc>
          <w:tcPr>
            <w:tcW w:w="6796" w:type="dxa"/>
          </w:tcPr>
          <w:p w14:paraId="79C9B938" w14:textId="28323831" w:rsidR="00041494" w:rsidRPr="00F73B3A" w:rsidRDefault="004032DE">
            <w:pPr>
              <w:rPr>
                <w:sz w:val="24"/>
                <w:szCs w:val="24"/>
              </w:rPr>
            </w:pPr>
            <w:r w:rsidRPr="00F73B3A">
              <w:rPr>
                <w:sz w:val="24"/>
                <w:szCs w:val="24"/>
              </w:rPr>
              <w:t>Usually 14-16 days after contact.</w:t>
            </w:r>
          </w:p>
        </w:tc>
      </w:tr>
      <w:tr w:rsidR="00041494" w14:paraId="30F34E1C" w14:textId="77777777" w:rsidTr="00F73B3A">
        <w:trPr>
          <w:trHeight w:val="440"/>
        </w:trPr>
        <w:tc>
          <w:tcPr>
            <w:tcW w:w="3017" w:type="dxa"/>
          </w:tcPr>
          <w:p w14:paraId="316EB05A" w14:textId="217AA015" w:rsidR="00041494" w:rsidRPr="00C37D72" w:rsidRDefault="00041494">
            <w:pPr>
              <w:rPr>
                <w:b/>
                <w:bCs/>
                <w:sz w:val="28"/>
                <w:szCs w:val="28"/>
              </w:rPr>
            </w:pPr>
            <w:r w:rsidRPr="00C37D72">
              <w:rPr>
                <w:b/>
                <w:bCs/>
                <w:sz w:val="28"/>
                <w:szCs w:val="28"/>
              </w:rPr>
              <w:t>Communicable Period:</w:t>
            </w:r>
          </w:p>
        </w:tc>
        <w:tc>
          <w:tcPr>
            <w:tcW w:w="6796" w:type="dxa"/>
          </w:tcPr>
          <w:p w14:paraId="7E703021" w14:textId="593A7421" w:rsidR="00041494" w:rsidRPr="00F73B3A" w:rsidRDefault="004032DE">
            <w:pPr>
              <w:rPr>
                <w:sz w:val="24"/>
                <w:szCs w:val="24"/>
              </w:rPr>
            </w:pPr>
            <w:r w:rsidRPr="00F73B3A">
              <w:rPr>
                <w:sz w:val="24"/>
                <w:szCs w:val="24"/>
              </w:rPr>
              <w:t>Until all blisters have scabs and no new blisters are forming</w:t>
            </w:r>
            <w:r w:rsidR="00C37D72" w:rsidRPr="00F73B3A">
              <w:rPr>
                <w:sz w:val="24"/>
                <w:szCs w:val="24"/>
              </w:rPr>
              <w:t>.</w:t>
            </w:r>
          </w:p>
        </w:tc>
      </w:tr>
      <w:tr w:rsidR="00041494" w14:paraId="2469E21C" w14:textId="77777777" w:rsidTr="008C76D4">
        <w:trPr>
          <w:trHeight w:val="1098"/>
        </w:trPr>
        <w:tc>
          <w:tcPr>
            <w:tcW w:w="3017" w:type="dxa"/>
          </w:tcPr>
          <w:p w14:paraId="01086636" w14:textId="5B586EDA" w:rsidR="00041494" w:rsidRPr="00C37D72" w:rsidRDefault="00041494">
            <w:pPr>
              <w:rPr>
                <w:b/>
                <w:bCs/>
                <w:sz w:val="28"/>
                <w:szCs w:val="28"/>
              </w:rPr>
            </w:pPr>
            <w:r w:rsidRPr="00C37D72">
              <w:rPr>
                <w:b/>
                <w:bCs/>
                <w:sz w:val="28"/>
                <w:szCs w:val="28"/>
              </w:rPr>
              <w:t>Control:</w:t>
            </w:r>
          </w:p>
        </w:tc>
        <w:tc>
          <w:tcPr>
            <w:tcW w:w="6796" w:type="dxa"/>
          </w:tcPr>
          <w:p w14:paraId="3A45D785" w14:textId="784EE6D1" w:rsidR="00041494" w:rsidRPr="00F73B3A" w:rsidRDefault="004032DE">
            <w:pPr>
              <w:rPr>
                <w:sz w:val="24"/>
                <w:szCs w:val="24"/>
              </w:rPr>
            </w:pPr>
            <w:r w:rsidRPr="00F73B3A">
              <w:rPr>
                <w:sz w:val="24"/>
                <w:szCs w:val="24"/>
              </w:rPr>
              <w:t xml:space="preserve">Provide information to the school regarding the nature of the condition. Exclude your child from school until the skin rash has crusted over. </w:t>
            </w:r>
          </w:p>
        </w:tc>
      </w:tr>
      <w:tr w:rsidR="00041494" w14:paraId="1996D1D1" w14:textId="77777777" w:rsidTr="008C76D4">
        <w:trPr>
          <w:trHeight w:val="2187"/>
        </w:trPr>
        <w:tc>
          <w:tcPr>
            <w:tcW w:w="3017" w:type="dxa"/>
          </w:tcPr>
          <w:p w14:paraId="0D14147B" w14:textId="1E31022D" w:rsidR="00041494" w:rsidRPr="00C37D72" w:rsidRDefault="00041494">
            <w:pPr>
              <w:rPr>
                <w:b/>
                <w:bCs/>
                <w:sz w:val="28"/>
                <w:szCs w:val="28"/>
              </w:rPr>
            </w:pPr>
            <w:r w:rsidRPr="00C37D72">
              <w:rPr>
                <w:b/>
                <w:bCs/>
                <w:sz w:val="28"/>
                <w:szCs w:val="28"/>
              </w:rPr>
              <w:t>Suggested Treatment:</w:t>
            </w:r>
          </w:p>
        </w:tc>
        <w:tc>
          <w:tcPr>
            <w:tcW w:w="6796" w:type="dxa"/>
          </w:tcPr>
          <w:p w14:paraId="56627106" w14:textId="1A890B89" w:rsidR="00041494" w:rsidRPr="00F73B3A" w:rsidRDefault="004032DE">
            <w:pPr>
              <w:rPr>
                <w:b/>
                <w:bCs/>
                <w:sz w:val="24"/>
                <w:szCs w:val="24"/>
              </w:rPr>
            </w:pPr>
            <w:r w:rsidRPr="00F73B3A">
              <w:rPr>
                <w:sz w:val="24"/>
                <w:szCs w:val="24"/>
              </w:rPr>
              <w:t xml:space="preserve">Control fever with acetaminophen. Cut nails short to prevent scratching. Calamine lotion, </w:t>
            </w:r>
            <w:r w:rsidR="00697046" w:rsidRPr="00F73B3A">
              <w:rPr>
                <w:sz w:val="24"/>
                <w:szCs w:val="24"/>
              </w:rPr>
              <w:t xml:space="preserve">baking soda or tepid baths with oatmeal or baking soda may reduce itching. </w:t>
            </w:r>
            <w:r w:rsidR="00697046" w:rsidRPr="00F73B3A">
              <w:rPr>
                <w:b/>
                <w:bCs/>
                <w:i/>
                <w:iCs/>
                <w:sz w:val="24"/>
                <w:szCs w:val="24"/>
              </w:rPr>
              <w:t>Do not use ASA or Aspirin containing products. There is a possible association between the use of aspirin and a very rare but serious disease called Reye</w:t>
            </w:r>
            <w:r w:rsidR="00713366" w:rsidRPr="00F73B3A">
              <w:rPr>
                <w:b/>
                <w:bCs/>
                <w:i/>
                <w:iCs/>
                <w:sz w:val="24"/>
                <w:szCs w:val="24"/>
              </w:rPr>
              <w:t>’s</w:t>
            </w:r>
            <w:r w:rsidR="00697046" w:rsidRPr="00F73B3A">
              <w:rPr>
                <w:b/>
                <w:bCs/>
                <w:i/>
                <w:iCs/>
                <w:sz w:val="24"/>
                <w:szCs w:val="24"/>
              </w:rPr>
              <w:t xml:space="preserve"> Syndrome (vomiting associated with liver problems and coma).</w:t>
            </w:r>
            <w:r w:rsidR="00697046" w:rsidRPr="00F73B3A">
              <w:rPr>
                <w:b/>
                <w:bCs/>
                <w:sz w:val="24"/>
                <w:szCs w:val="24"/>
              </w:rPr>
              <w:t xml:space="preserve"> </w:t>
            </w:r>
          </w:p>
        </w:tc>
      </w:tr>
      <w:tr w:rsidR="00041494" w14:paraId="307E31AD" w14:textId="77777777" w:rsidTr="008C76D4">
        <w:trPr>
          <w:trHeight w:val="4293"/>
        </w:trPr>
        <w:tc>
          <w:tcPr>
            <w:tcW w:w="3017" w:type="dxa"/>
          </w:tcPr>
          <w:p w14:paraId="49FC0236" w14:textId="7244CEA1" w:rsidR="00041494" w:rsidRPr="00C37D72" w:rsidRDefault="00041494">
            <w:pPr>
              <w:rPr>
                <w:b/>
                <w:bCs/>
                <w:sz w:val="28"/>
                <w:szCs w:val="28"/>
              </w:rPr>
            </w:pPr>
            <w:r w:rsidRPr="00C37D72">
              <w:rPr>
                <w:b/>
                <w:bCs/>
                <w:sz w:val="28"/>
                <w:szCs w:val="28"/>
              </w:rPr>
              <w:t>Prevention:</w:t>
            </w:r>
          </w:p>
        </w:tc>
        <w:tc>
          <w:tcPr>
            <w:tcW w:w="6796" w:type="dxa"/>
          </w:tcPr>
          <w:p w14:paraId="724F14D8" w14:textId="1F9D124A" w:rsidR="00041494" w:rsidRPr="00F73B3A" w:rsidRDefault="00605A31">
            <w:pPr>
              <w:rPr>
                <w:sz w:val="24"/>
                <w:szCs w:val="24"/>
              </w:rPr>
            </w:pPr>
            <w:r w:rsidRPr="00F73B3A">
              <w:rPr>
                <w:sz w:val="24"/>
                <w:szCs w:val="24"/>
              </w:rPr>
              <w:t xml:space="preserve">Use good handwashing and surface sanitation techniques at all times, particularly after contact with soiled articles or blisters. Prevent contact with other people in the family who have not had it and pregnant women or people whose immunity may be reduced due to disease or drug/radiation therapy. Those with reduced </w:t>
            </w:r>
            <w:r w:rsidR="00713366" w:rsidRPr="00F73B3A">
              <w:rPr>
                <w:sz w:val="24"/>
                <w:szCs w:val="24"/>
              </w:rPr>
              <w:t>i</w:t>
            </w:r>
            <w:r w:rsidRPr="00F73B3A">
              <w:rPr>
                <w:sz w:val="24"/>
                <w:szCs w:val="24"/>
              </w:rPr>
              <w:t xml:space="preserve">mmune response who are exposed should contact their physician immediately. </w:t>
            </w:r>
          </w:p>
          <w:p w14:paraId="42094DE8" w14:textId="77777777" w:rsidR="00605A31" w:rsidRPr="00F73B3A" w:rsidRDefault="00605A31">
            <w:pPr>
              <w:rPr>
                <w:sz w:val="24"/>
                <w:szCs w:val="24"/>
              </w:rPr>
            </w:pPr>
          </w:p>
          <w:p w14:paraId="63EDAFCD" w14:textId="5E4DD066" w:rsidR="00605A31" w:rsidRPr="00F73B3A" w:rsidRDefault="00605A31">
            <w:pPr>
              <w:rPr>
                <w:sz w:val="24"/>
                <w:szCs w:val="24"/>
              </w:rPr>
            </w:pPr>
            <w:r w:rsidRPr="00F73B3A">
              <w:rPr>
                <w:sz w:val="24"/>
                <w:szCs w:val="24"/>
              </w:rPr>
              <w:t>The Immunization Practices Advisory Committee of the U.S. Public Health Service recommends</w:t>
            </w:r>
            <w:r w:rsidR="00713366" w:rsidRPr="00F73B3A">
              <w:rPr>
                <w:sz w:val="24"/>
                <w:szCs w:val="24"/>
              </w:rPr>
              <w:t xml:space="preserve"> a</w:t>
            </w:r>
            <w:r w:rsidRPr="00F73B3A">
              <w:rPr>
                <w:sz w:val="24"/>
                <w:szCs w:val="24"/>
              </w:rPr>
              <w:t xml:space="preserve"> routine single dose varicella (chickenpox) vaccination for all healthy children between 12-18 months. A single dose vaccination is also recommended for children 18 months </w:t>
            </w:r>
            <w:r w:rsidR="00EC0165">
              <w:rPr>
                <w:sz w:val="24"/>
                <w:szCs w:val="24"/>
              </w:rPr>
              <w:t xml:space="preserve">to </w:t>
            </w:r>
            <w:r w:rsidRPr="00F73B3A">
              <w:rPr>
                <w:sz w:val="24"/>
                <w:szCs w:val="24"/>
              </w:rPr>
              <w:t xml:space="preserve">12 years who have not had chickenpox or who have an undocumented health history. </w:t>
            </w:r>
          </w:p>
        </w:tc>
      </w:tr>
      <w:tr w:rsidR="00041494" w14:paraId="76EA27C4" w14:textId="77777777" w:rsidTr="00F73B3A">
        <w:trPr>
          <w:trHeight w:val="326"/>
        </w:trPr>
        <w:tc>
          <w:tcPr>
            <w:tcW w:w="3017" w:type="dxa"/>
          </w:tcPr>
          <w:p w14:paraId="74448A65" w14:textId="141F4911" w:rsidR="00041494" w:rsidRPr="00C37D72" w:rsidRDefault="00041494">
            <w:pPr>
              <w:rPr>
                <w:b/>
                <w:bCs/>
                <w:sz w:val="28"/>
                <w:szCs w:val="28"/>
              </w:rPr>
            </w:pPr>
            <w:r w:rsidRPr="00C37D72">
              <w:rPr>
                <w:b/>
                <w:bCs/>
                <w:sz w:val="28"/>
                <w:szCs w:val="28"/>
              </w:rPr>
              <w:t>References:</w:t>
            </w:r>
          </w:p>
        </w:tc>
        <w:tc>
          <w:tcPr>
            <w:tcW w:w="6796" w:type="dxa"/>
          </w:tcPr>
          <w:p w14:paraId="422C8944" w14:textId="77777777" w:rsidR="00F73B3A" w:rsidRPr="00F73B3A" w:rsidRDefault="00F73B3A" w:rsidP="00F73B3A">
            <w:pPr>
              <w:rPr>
                <w:sz w:val="24"/>
                <w:szCs w:val="24"/>
              </w:rPr>
            </w:pPr>
            <w:r w:rsidRPr="00F73B3A">
              <w:rPr>
                <w:sz w:val="24"/>
                <w:szCs w:val="24"/>
              </w:rPr>
              <w:t xml:space="preserve">American Academy of Pediatrics, Managing Infectious Diseases in Child Care and Schools </w:t>
            </w:r>
            <w:r w:rsidRPr="00F73B3A">
              <w:rPr>
                <w:rFonts w:cstheme="minorHAnsi"/>
                <w:sz w:val="24"/>
                <w:szCs w:val="24"/>
              </w:rPr>
              <w:t>©</w:t>
            </w:r>
            <w:r w:rsidRPr="00F73B3A">
              <w:rPr>
                <w:sz w:val="24"/>
                <w:szCs w:val="24"/>
              </w:rPr>
              <w:t xml:space="preserve"> 2010  </w:t>
            </w:r>
            <w:hyperlink r:id="rId6" w:history="1">
              <w:r w:rsidRPr="00F73B3A">
                <w:rPr>
                  <w:rStyle w:val="Hyperlink"/>
                  <w:sz w:val="24"/>
                  <w:szCs w:val="24"/>
                </w:rPr>
                <w:t>www.aap.org</w:t>
              </w:r>
            </w:hyperlink>
          </w:p>
          <w:p w14:paraId="419AC727" w14:textId="3C548C2D" w:rsidR="00F73B3A" w:rsidRPr="00F73B3A" w:rsidRDefault="00F73B3A" w:rsidP="00F73B3A">
            <w:pPr>
              <w:rPr>
                <w:sz w:val="24"/>
                <w:szCs w:val="24"/>
              </w:rPr>
            </w:pPr>
          </w:p>
          <w:p w14:paraId="69D6E7A6" w14:textId="7B6E1F75" w:rsidR="00F73B3A" w:rsidRPr="00F73B3A" w:rsidRDefault="00F73B3A" w:rsidP="00F73B3A">
            <w:pPr>
              <w:rPr>
                <w:sz w:val="24"/>
                <w:szCs w:val="24"/>
              </w:rPr>
            </w:pPr>
            <w:r w:rsidRPr="00F73B3A">
              <w:rPr>
                <w:sz w:val="24"/>
                <w:szCs w:val="24"/>
              </w:rPr>
              <w:t>Center for Disease Control and Prevention (CDC)</w:t>
            </w:r>
          </w:p>
          <w:p w14:paraId="047E28A6" w14:textId="7481CC41" w:rsidR="00041494" w:rsidRPr="00F73B3A" w:rsidRDefault="00800137" w:rsidP="00F73B3A">
            <w:pPr>
              <w:rPr>
                <w:sz w:val="24"/>
                <w:szCs w:val="24"/>
              </w:rPr>
            </w:pPr>
            <w:hyperlink r:id="rId7" w:history="1">
              <w:r w:rsidR="00F73B3A" w:rsidRPr="00F73B3A">
                <w:rPr>
                  <w:rStyle w:val="Hyperlink"/>
                  <w:sz w:val="24"/>
                  <w:szCs w:val="24"/>
                </w:rPr>
                <w:t>www.cdc.gov</w:t>
              </w:r>
            </w:hyperlink>
          </w:p>
        </w:tc>
      </w:tr>
    </w:tbl>
    <w:p w14:paraId="09BA0F68" w14:textId="4AB9B766" w:rsidR="00041494" w:rsidRDefault="00F73B3A">
      <w:r>
        <w:rPr>
          <w:noProof/>
        </w:rPr>
        <w:drawing>
          <wp:anchor distT="0" distB="0" distL="114300" distR="114300" simplePos="0" relativeHeight="251658240" behindDoc="1" locked="0" layoutInCell="1" allowOverlap="1" wp14:anchorId="10A8A80C" wp14:editId="7FB89CED">
            <wp:simplePos x="0" y="0"/>
            <wp:positionH relativeFrom="column">
              <wp:posOffset>4629150</wp:posOffset>
            </wp:positionH>
            <wp:positionV relativeFrom="paragraph">
              <wp:posOffset>-505460</wp:posOffset>
            </wp:positionV>
            <wp:extent cx="2076450" cy="177882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1778826"/>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414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C8B05" w14:textId="77777777" w:rsidR="00800137" w:rsidRDefault="00800137" w:rsidP="00041494">
      <w:pPr>
        <w:spacing w:after="0" w:line="240" w:lineRule="auto"/>
      </w:pPr>
      <w:r>
        <w:separator/>
      </w:r>
    </w:p>
  </w:endnote>
  <w:endnote w:type="continuationSeparator" w:id="0">
    <w:p w14:paraId="68445B6E" w14:textId="77777777" w:rsidR="00800137" w:rsidRDefault="00800137" w:rsidP="00041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C5AAB" w14:textId="77777777" w:rsidR="00800137" w:rsidRDefault="00800137" w:rsidP="00041494">
      <w:pPr>
        <w:spacing w:after="0" w:line="240" w:lineRule="auto"/>
      </w:pPr>
      <w:r>
        <w:separator/>
      </w:r>
    </w:p>
  </w:footnote>
  <w:footnote w:type="continuationSeparator" w:id="0">
    <w:p w14:paraId="2A88F2E9" w14:textId="77777777" w:rsidR="00800137" w:rsidRDefault="00800137" w:rsidP="00041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C3674" w14:textId="77777777" w:rsidR="00041494" w:rsidRPr="00041494" w:rsidRDefault="00041494" w:rsidP="00041494">
    <w:pPr>
      <w:pStyle w:val="Header"/>
      <w:rPr>
        <w:b/>
        <w:bCs/>
        <w:sz w:val="36"/>
        <w:szCs w:val="36"/>
      </w:rPr>
    </w:pPr>
    <w:r w:rsidRPr="00041494">
      <w:rPr>
        <w:b/>
        <w:bCs/>
        <w:sz w:val="44"/>
        <w:szCs w:val="44"/>
      </w:rPr>
      <w:t>HEALTH BULLETIN</w:t>
    </w:r>
    <w:r>
      <w:rPr>
        <w:b/>
        <w:bCs/>
        <w:sz w:val="52"/>
        <w:szCs w:val="52"/>
      </w:rPr>
      <w:t xml:space="preserve">   </w:t>
    </w:r>
    <w:r w:rsidRPr="00041494">
      <w:rPr>
        <w:b/>
        <w:bCs/>
        <w:sz w:val="36"/>
        <w:szCs w:val="36"/>
      </w:rPr>
      <w:t>Chickenpox (varicella-zoster virus)</w:t>
    </w:r>
  </w:p>
  <w:p w14:paraId="72156B8E" w14:textId="77777777" w:rsidR="00041494" w:rsidRDefault="000414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494"/>
    <w:rsid w:val="00041494"/>
    <w:rsid w:val="004032DE"/>
    <w:rsid w:val="00605A31"/>
    <w:rsid w:val="00697046"/>
    <w:rsid w:val="00713366"/>
    <w:rsid w:val="007148A7"/>
    <w:rsid w:val="00800137"/>
    <w:rsid w:val="008C76D4"/>
    <w:rsid w:val="00BD21D2"/>
    <w:rsid w:val="00C37D72"/>
    <w:rsid w:val="00EC0165"/>
    <w:rsid w:val="00F7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ECF4"/>
  <w15:chartTrackingRefBased/>
  <w15:docId w15:val="{22B03BB1-59D3-46A5-A898-F1E84A86A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1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494"/>
  </w:style>
  <w:style w:type="paragraph" w:styleId="Footer">
    <w:name w:val="footer"/>
    <w:basedOn w:val="Normal"/>
    <w:link w:val="FooterChar"/>
    <w:uiPriority w:val="99"/>
    <w:unhideWhenUsed/>
    <w:rsid w:val="00041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494"/>
  </w:style>
  <w:style w:type="table" w:styleId="TableGrid">
    <w:name w:val="Table Grid"/>
    <w:basedOn w:val="TableNormal"/>
    <w:uiPriority w:val="39"/>
    <w:rsid w:val="00041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1494"/>
    <w:rPr>
      <w:color w:val="0563C1" w:themeColor="hyperlink"/>
      <w:u w:val="single"/>
    </w:rPr>
  </w:style>
  <w:style w:type="character" w:styleId="UnresolvedMention">
    <w:name w:val="Unresolved Mention"/>
    <w:basedOn w:val="DefaultParagraphFont"/>
    <w:uiPriority w:val="99"/>
    <w:semiHidden/>
    <w:unhideWhenUsed/>
    <w:rsid w:val="00041494"/>
    <w:rPr>
      <w:color w:val="605E5C"/>
      <w:shd w:val="clear" w:color="auto" w:fill="E1DFDD"/>
    </w:rPr>
  </w:style>
  <w:style w:type="character" w:styleId="FollowedHyperlink">
    <w:name w:val="FollowedHyperlink"/>
    <w:basedOn w:val="DefaultParagraphFont"/>
    <w:uiPriority w:val="99"/>
    <w:semiHidden/>
    <w:unhideWhenUsed/>
    <w:rsid w:val="00041494"/>
    <w:rPr>
      <w:color w:val="954F72" w:themeColor="followedHyperlink"/>
      <w:u w:val="single"/>
    </w:rPr>
  </w:style>
  <w:style w:type="table" w:styleId="PlainTable3">
    <w:name w:val="Plain Table 3"/>
    <w:basedOn w:val="TableNormal"/>
    <w:uiPriority w:val="43"/>
    <w:rsid w:val="00C37D7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cdc.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ap.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Bradberry</dc:creator>
  <cp:keywords/>
  <dc:description/>
  <cp:lastModifiedBy>Candice Bradberry</cp:lastModifiedBy>
  <cp:revision>4</cp:revision>
  <dcterms:created xsi:type="dcterms:W3CDTF">2022-03-29T14:00:00Z</dcterms:created>
  <dcterms:modified xsi:type="dcterms:W3CDTF">2022-03-29T15:11:00Z</dcterms:modified>
</cp:coreProperties>
</file>